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20DE" w:rsidRDefault="000320DE">
      <w:pPr>
        <w:rPr>
          <w:rtl/>
        </w:rPr>
      </w:pPr>
      <w:bookmarkStart w:id="0" w:name="_GoBack"/>
      <w:bookmarkEnd w:id="0"/>
    </w:p>
    <w:p w:rsidR="00B53CED" w:rsidRDefault="00B53CED">
      <w:pPr>
        <w:rPr>
          <w:rtl/>
        </w:rPr>
      </w:pPr>
    </w:p>
    <w:p w:rsidR="00B53CED" w:rsidRDefault="00B53CED">
      <w:pPr>
        <w:rPr>
          <w:rtl/>
        </w:rPr>
      </w:pPr>
    </w:p>
    <w:p w:rsidR="00B53CED" w:rsidRDefault="00B53CED">
      <w:pPr>
        <w:rPr>
          <w:rtl/>
        </w:rPr>
      </w:pPr>
    </w:p>
    <w:p w:rsidR="00B53CED" w:rsidRDefault="00B53CED">
      <w:pPr>
        <w:rPr>
          <w:rtl/>
        </w:rPr>
      </w:pPr>
    </w:p>
    <w:p w:rsidR="00B53CED" w:rsidRDefault="00B53CED">
      <w:pPr>
        <w:rPr>
          <w:rtl/>
        </w:rPr>
      </w:pPr>
    </w:p>
    <w:tbl>
      <w:tblPr>
        <w:bidiVisual/>
        <w:tblW w:w="14045" w:type="dxa"/>
        <w:jc w:val="center"/>
        <w:tblCellMar>
          <w:left w:w="0" w:type="dxa"/>
          <w:right w:w="0" w:type="dxa"/>
        </w:tblCellMar>
        <w:tblLook w:val="04A0" w:firstRow="1" w:lastRow="0" w:firstColumn="1" w:lastColumn="0" w:noHBand="0" w:noVBand="1"/>
      </w:tblPr>
      <w:tblGrid>
        <w:gridCol w:w="723"/>
        <w:gridCol w:w="2162"/>
        <w:gridCol w:w="896"/>
        <w:gridCol w:w="5132"/>
        <w:gridCol w:w="5132"/>
      </w:tblGrid>
      <w:tr w:rsidR="00B53CED" w:rsidTr="00B53CED">
        <w:trPr>
          <w:jc w:val="center"/>
        </w:trPr>
        <w:tc>
          <w:tcPr>
            <w:tcW w:w="72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jc w:val="center"/>
              <w:rPr>
                <w:rFonts w:ascii="Times New Roman" w:hAnsi="Times New Roman"/>
                <w:sz w:val="24"/>
                <w:szCs w:val="24"/>
              </w:rPr>
            </w:pPr>
            <w:r>
              <w:rPr>
                <w:rFonts w:cs="David" w:hint="cs"/>
                <w:rtl/>
              </w:rPr>
              <w:t>מס'</w:t>
            </w:r>
          </w:p>
        </w:tc>
        <w:tc>
          <w:tcPr>
            <w:tcW w:w="216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jc w:val="center"/>
              <w:rPr>
                <w:rFonts w:cs="David"/>
                <w:rtl/>
              </w:rPr>
            </w:pPr>
            <w:r>
              <w:rPr>
                <w:rFonts w:cs="David" w:hint="cs"/>
                <w:rtl/>
              </w:rPr>
              <w:t xml:space="preserve">סעיף </w:t>
            </w:r>
          </w:p>
        </w:tc>
        <w:tc>
          <w:tcPr>
            <w:tcW w:w="89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jc w:val="center"/>
              <w:rPr>
                <w:rFonts w:ascii="Times New Roman" w:hAnsi="Times New Roman" w:hint="cs"/>
                <w:rtl/>
              </w:rPr>
            </w:pPr>
            <w:r>
              <w:rPr>
                <w:rFonts w:cs="David" w:hint="cs"/>
                <w:rtl/>
              </w:rPr>
              <w:t>עמוד</w:t>
            </w:r>
          </w:p>
        </w:tc>
        <w:tc>
          <w:tcPr>
            <w:tcW w:w="513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jc w:val="center"/>
              <w:rPr>
                <w:rFonts w:ascii="Times New Roman" w:hAnsi="Times New Roman"/>
                <w:rtl/>
              </w:rPr>
            </w:pPr>
            <w:r>
              <w:rPr>
                <w:rFonts w:cs="David" w:hint="cs"/>
                <w:rtl/>
              </w:rPr>
              <w:t>שאלה</w:t>
            </w:r>
          </w:p>
        </w:tc>
        <w:tc>
          <w:tcPr>
            <w:tcW w:w="513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jc w:val="center"/>
              <w:rPr>
                <w:rFonts w:ascii="Times New Roman" w:hAnsi="Times New Roman"/>
                <w:b/>
                <w:bCs/>
                <w:rtl/>
              </w:rPr>
            </w:pPr>
            <w:r>
              <w:rPr>
                <w:rFonts w:cs="David" w:hint="cs"/>
                <w:b/>
                <w:bCs/>
                <w:rtl/>
              </w:rPr>
              <w:t>התייחסות המשרד</w:t>
            </w:r>
          </w:p>
        </w:tc>
      </w:tr>
      <w:tr w:rsidR="00B53CED" w:rsidTr="00B53CED">
        <w:trPr>
          <w:jc w:val="center"/>
        </w:trPr>
        <w:tc>
          <w:tcPr>
            <w:tcW w:w="7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cs="David"/>
              </w:rPr>
            </w:pPr>
            <w:r>
              <w:rPr>
                <w:rFonts w:cs="David" w:hint="cs"/>
                <w:rtl/>
              </w:rPr>
              <w:t>1</w:t>
            </w:r>
          </w:p>
        </w:tc>
        <w:tc>
          <w:tcPr>
            <w:tcW w:w="21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cs="David" w:hint="cs"/>
                <w:rtl/>
              </w:rPr>
            </w:pPr>
            <w:r>
              <w:rPr>
                <w:rFonts w:cs="David" w:hint="cs"/>
                <w:rtl/>
              </w:rPr>
              <w:t>2.2.2.1</w:t>
            </w:r>
          </w:p>
        </w:tc>
        <w:tc>
          <w:tcPr>
            <w:tcW w:w="8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hint="cs"/>
                <w:rtl/>
              </w:rPr>
            </w:pPr>
            <w:r>
              <w:rPr>
                <w:rFonts w:cs="David" w:hint="cs"/>
                <w:rtl/>
              </w:rPr>
              <w:t>7</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Fonts w:cs="David"/>
                <w:rtl/>
              </w:rPr>
            </w:pPr>
            <w:r>
              <w:rPr>
                <w:rFonts w:cs="David" w:hint="cs"/>
                <w:rtl/>
              </w:rPr>
              <w:t xml:space="preserve">בסעיף הראשון נרשם כי הספק נדרש לבצע רישום ותיעוד של כלל הגרעינים הנתמכים ע"י משרדי הממשלה השונים. בסעיף 4 ב' (עמוד 6) נרשם כי משרד </w:t>
            </w:r>
            <w:proofErr w:type="spellStart"/>
            <w:r>
              <w:rPr>
                <w:rFonts w:cs="David" w:hint="cs"/>
                <w:rtl/>
              </w:rPr>
              <w:t>החלקאות</w:t>
            </w:r>
            <w:proofErr w:type="spellEnd"/>
            <w:r>
              <w:rPr>
                <w:rFonts w:cs="David" w:hint="cs"/>
                <w:rtl/>
              </w:rPr>
              <w:t xml:space="preserve"> תמך </w:t>
            </w:r>
            <w:proofErr w:type="spellStart"/>
            <w:r>
              <w:rPr>
                <w:rFonts w:cs="David" w:hint="cs"/>
                <w:rtl/>
              </w:rPr>
              <w:t>בכ</w:t>
            </w:r>
            <w:proofErr w:type="spellEnd"/>
            <w:r>
              <w:rPr>
                <w:rFonts w:cs="David" w:hint="cs"/>
                <w:rtl/>
              </w:rPr>
              <w:t xml:space="preserve"> 200 גרעינים בשנה. נבקש לקבל את הערכת המשרד לגבי כלל הגרעינים הנתמכים ע"י משרדי הממשלה השונים, וזאת בכדי להבין לעומק את היקף העבודה בשלב הראשון</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rPr>
                <w:rFonts w:ascii="Arial" w:hAnsi="Arial" w:cs="Arial"/>
                <w:b/>
                <w:bCs/>
                <w:color w:val="1F497D"/>
              </w:rPr>
            </w:pPr>
            <w:r>
              <w:rPr>
                <w:rFonts w:ascii="Arial" w:hAnsi="Arial" w:cs="Arial"/>
                <w:b/>
                <w:bCs/>
                <w:color w:val="1F497D"/>
                <w:rtl/>
              </w:rPr>
              <w:t>משרדי הממשלה תומכים בגרעינים משימתיים בכל רחבי הארץ:</w:t>
            </w:r>
          </w:p>
          <w:p w:rsidR="00B53CED" w:rsidRDefault="00B53CED" w:rsidP="00F40FC8">
            <w:pPr>
              <w:pStyle w:val="a3"/>
              <w:numPr>
                <w:ilvl w:val="0"/>
                <w:numId w:val="1"/>
              </w:numPr>
              <w:rPr>
                <w:rFonts w:ascii="Arial" w:hAnsi="Arial" w:cs="Arial"/>
                <w:b/>
                <w:bCs/>
                <w:color w:val="1F497D"/>
                <w:rtl/>
              </w:rPr>
            </w:pPr>
            <w:r>
              <w:rPr>
                <w:rFonts w:ascii="Arial" w:hAnsi="Arial" w:cs="Arial"/>
                <w:b/>
                <w:bCs/>
                <w:color w:val="1F497D"/>
                <w:rtl/>
              </w:rPr>
              <w:t>גרעינים משימתיים - נתמכים על ידי משרד החקלאות.</w:t>
            </w:r>
          </w:p>
          <w:p w:rsidR="00B53CED" w:rsidRDefault="00B53CED" w:rsidP="00F40FC8">
            <w:pPr>
              <w:pStyle w:val="a3"/>
              <w:numPr>
                <w:ilvl w:val="0"/>
                <w:numId w:val="1"/>
              </w:numPr>
              <w:rPr>
                <w:rFonts w:ascii="Arial" w:hAnsi="Arial" w:cs="Arial"/>
                <w:b/>
                <w:bCs/>
                <w:color w:val="1F497D"/>
                <w:rtl/>
              </w:rPr>
            </w:pPr>
            <w:r>
              <w:rPr>
                <w:rFonts w:ascii="Arial" w:hAnsi="Arial" w:cs="Arial"/>
                <w:b/>
                <w:bCs/>
                <w:color w:val="1F497D"/>
                <w:rtl/>
              </w:rPr>
              <w:t>גרעינים תורניים - נתמכים על ידי משרד החינוך.</w:t>
            </w:r>
          </w:p>
          <w:p w:rsidR="00B53CED" w:rsidRDefault="00B53CED" w:rsidP="00F40FC8">
            <w:pPr>
              <w:pStyle w:val="a3"/>
              <w:numPr>
                <w:ilvl w:val="0"/>
                <w:numId w:val="1"/>
              </w:numPr>
              <w:rPr>
                <w:rFonts w:ascii="Arial" w:hAnsi="Arial" w:cs="Arial"/>
                <w:b/>
                <w:bCs/>
                <w:color w:val="1F497D"/>
                <w:rtl/>
              </w:rPr>
            </w:pPr>
            <w:r>
              <w:rPr>
                <w:rFonts w:ascii="Arial" w:hAnsi="Arial" w:cs="Arial"/>
                <w:b/>
                <w:bCs/>
                <w:color w:val="1F497D"/>
                <w:rtl/>
              </w:rPr>
              <w:t>קבוצות מחנכים - נתמכים על ידי משרד החינוך.</w:t>
            </w:r>
          </w:p>
          <w:p w:rsidR="00B53CED" w:rsidRDefault="00B53CED">
            <w:pPr>
              <w:rPr>
                <w:rFonts w:ascii="Arial" w:hAnsi="Arial" w:cs="Arial"/>
                <w:b/>
                <w:bCs/>
                <w:color w:val="1F497D"/>
                <w:rtl/>
              </w:rPr>
            </w:pPr>
            <w:r>
              <w:rPr>
                <w:rFonts w:ascii="Arial" w:hAnsi="Arial" w:cs="Arial"/>
                <w:b/>
                <w:bCs/>
                <w:color w:val="1F497D"/>
                <w:rtl/>
              </w:rPr>
              <w:t>לא ידוע לנו היקף התמיכה על ידי המשרדים האחרים.</w:t>
            </w:r>
          </w:p>
        </w:tc>
      </w:tr>
      <w:tr w:rsidR="00B53CED" w:rsidTr="00B53CED">
        <w:trPr>
          <w:jc w:val="center"/>
        </w:trPr>
        <w:tc>
          <w:tcPr>
            <w:tcW w:w="7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ascii="Times New Roman" w:hAnsi="Times New Roman"/>
                <w:rtl/>
              </w:rPr>
            </w:pPr>
            <w:r>
              <w:rPr>
                <w:rFonts w:cs="David" w:hint="cs"/>
                <w:rtl/>
              </w:rPr>
              <w:t>2</w:t>
            </w:r>
          </w:p>
        </w:tc>
        <w:tc>
          <w:tcPr>
            <w:tcW w:w="21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ascii="Times New Roman" w:hAnsi="Times New Roman"/>
                <w:rtl/>
              </w:rPr>
            </w:pPr>
            <w:r>
              <w:rPr>
                <w:rFonts w:cs="David" w:hint="cs"/>
                <w:rtl/>
              </w:rPr>
              <w:t>2.5.1.4</w:t>
            </w:r>
          </w:p>
        </w:tc>
        <w:tc>
          <w:tcPr>
            <w:tcW w:w="8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tl/>
              </w:rPr>
            </w:pPr>
            <w:r>
              <w:rPr>
                <w:rFonts w:cs="David" w:hint="cs"/>
                <w:rtl/>
              </w:rPr>
              <w:t>11</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tl/>
              </w:rPr>
            </w:pPr>
            <w:r>
              <w:rPr>
                <w:rFonts w:cs="David" w:hint="cs"/>
                <w:rtl/>
              </w:rPr>
              <w:t>נבקש לדעת באילו יועצים מקצועיים הספק יידרש להסתייע לטובת ביצוע הפרויקט, והאם יש למשרד הערכה לגבי היקף הפעילות שלהם בפעילות?</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Fonts w:ascii="Arial" w:hAnsi="Arial" w:cs="Arial"/>
                <w:b/>
                <w:bCs/>
                <w:color w:val="1F497D"/>
                <w:rtl/>
              </w:rPr>
            </w:pPr>
            <w:r>
              <w:rPr>
                <w:rFonts w:ascii="Arial" w:hAnsi="Arial" w:cs="Arial"/>
                <w:b/>
                <w:bCs/>
                <w:color w:val="1F497D"/>
                <w:rtl/>
              </w:rPr>
              <w:t>הספק יידרש להסתייע ביועצים מקצועיים לצורך עריכת המחקר. להלן מספר דוגמאות:</w:t>
            </w:r>
          </w:p>
          <w:p w:rsidR="00B53CED" w:rsidRDefault="00B53CED" w:rsidP="00F40FC8">
            <w:pPr>
              <w:pStyle w:val="a3"/>
              <w:numPr>
                <w:ilvl w:val="0"/>
                <w:numId w:val="2"/>
              </w:numPr>
              <w:spacing w:line="360" w:lineRule="auto"/>
              <w:rPr>
                <w:color w:val="1F497D"/>
              </w:rPr>
            </w:pPr>
            <w:r>
              <w:rPr>
                <w:rFonts w:ascii="Arial" w:hAnsi="Arial" w:cs="Arial"/>
                <w:b/>
                <w:bCs/>
                <w:color w:val="1F497D"/>
                <w:rtl/>
              </w:rPr>
              <w:t xml:space="preserve">יועץ חברתי הבקיא בעולם הקהילות, הגרעינים והרשויות המקומיות, לבחינת מידת השפעת הפעולות על תושבי הרשות המקומית. </w:t>
            </w:r>
          </w:p>
          <w:p w:rsidR="00B53CED" w:rsidRDefault="00B53CED" w:rsidP="00F40FC8">
            <w:pPr>
              <w:pStyle w:val="a3"/>
              <w:numPr>
                <w:ilvl w:val="0"/>
                <w:numId w:val="2"/>
              </w:numPr>
              <w:spacing w:line="360" w:lineRule="auto"/>
              <w:rPr>
                <w:rFonts w:cs="David"/>
                <w:color w:val="1F497D"/>
              </w:rPr>
            </w:pPr>
            <w:r>
              <w:rPr>
                <w:rFonts w:ascii="Arial" w:hAnsi="Arial" w:cs="Arial"/>
                <w:b/>
                <w:bCs/>
                <w:color w:val="1F497D"/>
                <w:rtl/>
              </w:rPr>
              <w:t>יועץ סטטיסטי לניתוח מאגרי מידע.</w:t>
            </w:r>
          </w:p>
          <w:p w:rsidR="00B53CED" w:rsidRDefault="00B53CED" w:rsidP="00F40FC8">
            <w:pPr>
              <w:pStyle w:val="a3"/>
              <w:numPr>
                <w:ilvl w:val="0"/>
                <w:numId w:val="2"/>
              </w:numPr>
              <w:spacing w:line="360" w:lineRule="auto"/>
              <w:rPr>
                <w:color w:val="1F497D"/>
              </w:rPr>
            </w:pPr>
            <w:r>
              <w:rPr>
                <w:rFonts w:ascii="Arial" w:hAnsi="Arial" w:cs="Arial"/>
                <w:b/>
                <w:bCs/>
                <w:color w:val="1F497D"/>
                <w:rtl/>
              </w:rPr>
              <w:t>יועץ חשבונאי לבחינת אופן ויעילות מימוש התקציבים.</w:t>
            </w:r>
          </w:p>
          <w:p w:rsidR="00B53CED" w:rsidRDefault="00B53CED">
            <w:pPr>
              <w:spacing w:line="360" w:lineRule="auto"/>
              <w:rPr>
                <w:b/>
                <w:bCs/>
                <w:color w:val="1F497D"/>
                <w:rtl/>
              </w:rPr>
            </w:pPr>
            <w:r>
              <w:rPr>
                <w:rFonts w:ascii="Arial" w:hAnsi="Arial" w:cs="Arial"/>
                <w:b/>
                <w:bCs/>
                <w:color w:val="1F497D"/>
                <w:rtl/>
              </w:rPr>
              <w:t>אין למשרד הערכה לגבי היקף פעילות היועצים.</w:t>
            </w:r>
          </w:p>
        </w:tc>
      </w:tr>
      <w:tr w:rsidR="00B53CED" w:rsidTr="00B53CED">
        <w:trPr>
          <w:jc w:val="center"/>
        </w:trPr>
        <w:tc>
          <w:tcPr>
            <w:tcW w:w="7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pPr>
            <w:r>
              <w:rPr>
                <w:rFonts w:cs="David" w:hint="cs"/>
                <w:rtl/>
              </w:rPr>
              <w:t>3</w:t>
            </w:r>
          </w:p>
        </w:tc>
        <w:tc>
          <w:tcPr>
            <w:tcW w:w="21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cs="David"/>
                <w:rtl/>
              </w:rPr>
            </w:pPr>
            <w:r>
              <w:rPr>
                <w:rFonts w:cs="David" w:hint="cs"/>
                <w:rtl/>
              </w:rPr>
              <w:t>2.6</w:t>
            </w:r>
          </w:p>
        </w:tc>
        <w:tc>
          <w:tcPr>
            <w:tcW w:w="8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cs="David"/>
              </w:rPr>
            </w:pPr>
            <w:r>
              <w:rPr>
                <w:rFonts w:cs="David" w:hint="cs"/>
                <w:rtl/>
              </w:rPr>
              <w:t>11</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Fonts w:cs="David" w:hint="cs"/>
                <w:rtl/>
              </w:rPr>
            </w:pPr>
            <w:r>
              <w:rPr>
                <w:rFonts w:cs="David" w:hint="cs"/>
                <w:rtl/>
              </w:rPr>
              <w:t xml:space="preserve">תקופת ההתקשרות במכרז מוגדרת ל 12 חודשים עם הארכות – סה"כ אופציית התקשרות מקסימלית של 5 שנים. בסעיף 2.2.2 – שלבים בפרויקט מוגדרים אבני דרך לפיהם אופי הפעילות בפרויקט אמורה להמשך כ 14 חודשים. נבקש להבין – </w:t>
            </w:r>
          </w:p>
          <w:p w:rsidR="00B53CED" w:rsidRDefault="00B53CED" w:rsidP="00F40FC8">
            <w:pPr>
              <w:numPr>
                <w:ilvl w:val="0"/>
                <w:numId w:val="3"/>
              </w:numPr>
              <w:spacing w:line="360" w:lineRule="auto"/>
              <w:rPr>
                <w:rFonts w:cs="David" w:hint="cs"/>
                <w:rtl/>
              </w:rPr>
            </w:pPr>
            <w:r>
              <w:rPr>
                <w:rFonts w:cs="David" w:hint="cs"/>
                <w:rtl/>
              </w:rPr>
              <w:t>האם מדובר בפעילות חד פעמית, קרי אחרי שמסתיים שלב שלוש הספק מפסיק את פעילותו, או שמא שלב שלוש יחזור על עצמו מידי שנה, וזאת בכדי לייצור דוחות השוואתיים בין התקופות. באם מדובר בפעילות חד פעמית – לשם מה המשרד נדרש לאופציות הארכה?</w:t>
            </w:r>
          </w:p>
          <w:p w:rsidR="00B53CED" w:rsidRDefault="00B53CED" w:rsidP="00F40FC8">
            <w:pPr>
              <w:numPr>
                <w:ilvl w:val="0"/>
                <w:numId w:val="3"/>
              </w:numPr>
              <w:spacing w:line="360" w:lineRule="auto"/>
              <w:rPr>
                <w:rFonts w:cs="David" w:hint="cs"/>
                <w:rtl/>
              </w:rPr>
            </w:pPr>
            <w:r>
              <w:rPr>
                <w:rFonts w:cs="David" w:hint="cs"/>
                <w:rtl/>
              </w:rPr>
              <w:t>קיימת סתירה בין תקופת ההתקשרות הראשונית לבין משך העבודה במכרז – נבקש להגדיר תקופת התקשרות ראשונית של 14 חודשים.</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rsidP="00F40FC8">
            <w:pPr>
              <w:pStyle w:val="a3"/>
              <w:numPr>
                <w:ilvl w:val="0"/>
                <w:numId w:val="4"/>
              </w:numPr>
              <w:spacing w:line="360" w:lineRule="auto"/>
              <w:rPr>
                <w:rFonts w:ascii="Arial" w:hAnsi="Arial" w:cs="Arial" w:hint="cs"/>
                <w:b/>
                <w:bCs/>
                <w:color w:val="1F497D"/>
                <w:rtl/>
              </w:rPr>
            </w:pPr>
            <w:r>
              <w:rPr>
                <w:rFonts w:ascii="Arial" w:hAnsi="Arial" w:cs="Arial"/>
                <w:b/>
                <w:bCs/>
                <w:color w:val="1F497D"/>
                <w:rtl/>
              </w:rPr>
              <w:t>מדובר בפעילות חד פעמית. כוונת המשרד היא שהחברה תשלים את המחקר במשך זמן של 14 חודשים. בנוסף קיימת במכרז זכות ברירה להארכת ההתקשרות לתקופות נוספות במידת הצורך.</w:t>
            </w:r>
          </w:p>
        </w:tc>
      </w:tr>
      <w:tr w:rsidR="00B53CED" w:rsidTr="00B53CED">
        <w:trPr>
          <w:jc w:val="center"/>
        </w:trPr>
        <w:tc>
          <w:tcPr>
            <w:tcW w:w="7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ascii="Times New Roman" w:hAnsi="Times New Roman"/>
                <w:rtl/>
              </w:rPr>
            </w:pPr>
            <w:r>
              <w:rPr>
                <w:rFonts w:cs="David" w:hint="cs"/>
                <w:rtl/>
              </w:rPr>
              <w:t>4</w:t>
            </w:r>
          </w:p>
        </w:tc>
        <w:tc>
          <w:tcPr>
            <w:tcW w:w="21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ascii="Times New Roman" w:hAnsi="Times New Roman"/>
                <w:rtl/>
              </w:rPr>
            </w:pPr>
            <w:r>
              <w:rPr>
                <w:rFonts w:cs="David" w:hint="cs"/>
                <w:rtl/>
              </w:rPr>
              <w:t>3.3</w:t>
            </w:r>
          </w:p>
        </w:tc>
        <w:tc>
          <w:tcPr>
            <w:tcW w:w="8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ascii="Times New Roman" w:hAnsi="Times New Roman"/>
                <w:rtl/>
              </w:rPr>
            </w:pPr>
            <w:r>
              <w:rPr>
                <w:rFonts w:cs="David" w:hint="cs"/>
                <w:rtl/>
              </w:rPr>
              <w:t>14</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tl/>
              </w:rPr>
            </w:pPr>
            <w:r>
              <w:rPr>
                <w:rFonts w:cs="David" w:hint="cs"/>
                <w:rtl/>
              </w:rPr>
              <w:t>הסעיף מפנה לנוסח הערבות בנספח 15. הנספח הנ"ל לא קיים. האם כוונת עורך המכרז הייתה להפנות את המציעים לנספח 8?</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Fonts w:ascii="Arial" w:hAnsi="Arial" w:cs="Arial"/>
                <w:b/>
                <w:bCs/>
                <w:color w:val="1F497D"/>
                <w:rtl/>
              </w:rPr>
            </w:pPr>
            <w:r>
              <w:rPr>
                <w:rFonts w:ascii="Arial" w:hAnsi="Arial" w:cs="Arial"/>
                <w:b/>
                <w:bCs/>
                <w:color w:val="1F497D"/>
                <w:rtl/>
              </w:rPr>
              <w:t xml:space="preserve">הכוונה היא אכן נספח 8 (עמ' 54 במכרז) </w:t>
            </w:r>
          </w:p>
        </w:tc>
      </w:tr>
      <w:tr w:rsidR="00B53CED" w:rsidTr="00B53CED">
        <w:trPr>
          <w:jc w:val="center"/>
        </w:trPr>
        <w:tc>
          <w:tcPr>
            <w:tcW w:w="7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pPr>
            <w:r>
              <w:rPr>
                <w:rFonts w:cs="David" w:hint="cs"/>
                <w:rtl/>
              </w:rPr>
              <w:lastRenderedPageBreak/>
              <w:t>5</w:t>
            </w:r>
          </w:p>
        </w:tc>
        <w:tc>
          <w:tcPr>
            <w:tcW w:w="21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cs="David"/>
                <w:rtl/>
              </w:rPr>
            </w:pPr>
            <w:r>
              <w:rPr>
                <w:rFonts w:cs="David" w:hint="cs"/>
                <w:rtl/>
              </w:rPr>
              <w:t>רשימת תיוג למסמכים סעיף 2.13</w:t>
            </w:r>
          </w:p>
        </w:tc>
        <w:tc>
          <w:tcPr>
            <w:tcW w:w="8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cs="David"/>
              </w:rPr>
            </w:pPr>
            <w:r>
              <w:rPr>
                <w:rFonts w:cs="David" w:hint="cs"/>
                <w:rtl/>
              </w:rPr>
              <w:t>27</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Fonts w:cs="David" w:hint="cs"/>
                <w:rtl/>
              </w:rPr>
            </w:pPr>
            <w:r>
              <w:rPr>
                <w:rFonts w:cs="David" w:hint="cs"/>
                <w:rtl/>
              </w:rPr>
              <w:t>האם כוונת המשרד בסעיף הזה היא לאישור מטעם מנהל ההסדרה והאכיפה במשרד הכלכלה בדבר העדר הרשות? אם, נבקש לדעת על איזה אישור מדובר</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Fonts w:cs="David" w:hint="cs"/>
                <w:highlight w:val="yellow"/>
                <w:rtl/>
              </w:rPr>
            </w:pPr>
            <w:r>
              <w:rPr>
                <w:rFonts w:ascii="Arial" w:hAnsi="Arial" w:cs="Arial"/>
                <w:b/>
                <w:bCs/>
                <w:color w:val="1F497D"/>
                <w:rtl/>
              </w:rPr>
              <w:t>כן</w:t>
            </w:r>
          </w:p>
        </w:tc>
      </w:tr>
      <w:tr w:rsidR="00B53CED" w:rsidTr="00B53CED">
        <w:trPr>
          <w:jc w:val="center"/>
        </w:trPr>
        <w:tc>
          <w:tcPr>
            <w:tcW w:w="7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cs="David" w:hint="cs"/>
                <w:rtl/>
              </w:rPr>
            </w:pPr>
            <w:r>
              <w:rPr>
                <w:rFonts w:cs="David" w:hint="cs"/>
                <w:rtl/>
              </w:rPr>
              <w:t>6</w:t>
            </w:r>
          </w:p>
        </w:tc>
        <w:tc>
          <w:tcPr>
            <w:tcW w:w="21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cs="David" w:hint="cs"/>
                <w:rtl/>
              </w:rPr>
            </w:pPr>
            <w:r>
              <w:rPr>
                <w:rFonts w:cs="David" w:hint="cs"/>
                <w:rtl/>
              </w:rPr>
              <w:t>נספח מס 1'</w:t>
            </w:r>
          </w:p>
        </w:tc>
        <w:tc>
          <w:tcPr>
            <w:tcW w:w="8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cs="David" w:hint="cs"/>
                <w:rtl/>
              </w:rPr>
            </w:pPr>
            <w:r>
              <w:rPr>
                <w:rFonts w:cs="David" w:hint="cs"/>
                <w:rtl/>
              </w:rPr>
              <w:t>28</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Fonts w:cs="David" w:hint="cs"/>
                <w:rtl/>
              </w:rPr>
            </w:pPr>
            <w:r>
              <w:rPr>
                <w:rFonts w:cs="David" w:hint="cs"/>
                <w:rtl/>
              </w:rPr>
              <w:t>נבקש לאשר למציעים להחתים עורך דין פנימי של החברה ולא עורך דין חיצוני.</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Fonts w:cs="David" w:hint="cs"/>
                <w:highlight w:val="yellow"/>
                <w:rtl/>
              </w:rPr>
            </w:pPr>
            <w:r>
              <w:rPr>
                <w:rFonts w:ascii="Arial" w:hAnsi="Arial" w:cs="Arial"/>
                <w:b/>
                <w:bCs/>
                <w:color w:val="1F497D"/>
                <w:rtl/>
              </w:rPr>
              <w:t>מאושר ככל שהוא עו"ד פעיל וחבר בלשכת עו"ד</w:t>
            </w:r>
          </w:p>
        </w:tc>
      </w:tr>
      <w:tr w:rsidR="00B53CED" w:rsidTr="00B53CED">
        <w:trPr>
          <w:jc w:val="center"/>
        </w:trPr>
        <w:tc>
          <w:tcPr>
            <w:tcW w:w="72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53CED" w:rsidRDefault="00B53CED">
            <w:pPr>
              <w:bidi w:val="0"/>
              <w:spacing w:line="360" w:lineRule="auto"/>
              <w:jc w:val="center"/>
              <w:rPr>
                <w:rFonts w:cs="David" w:hint="cs"/>
                <w:rtl/>
              </w:rPr>
            </w:pPr>
            <w:r>
              <w:rPr>
                <w:rFonts w:cs="David" w:hint="cs"/>
                <w:rtl/>
              </w:rPr>
              <w:t>7</w:t>
            </w:r>
          </w:p>
        </w:tc>
        <w:tc>
          <w:tcPr>
            <w:tcW w:w="21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cs="David" w:hint="cs"/>
                <w:rtl/>
              </w:rPr>
            </w:pPr>
            <w:r>
              <w:rPr>
                <w:rFonts w:cs="David" w:hint="cs"/>
                <w:rtl/>
              </w:rPr>
              <w:t>נספח ד' להסכם התקשרות – אישור על קיום ביטוחים</w:t>
            </w:r>
          </w:p>
        </w:tc>
        <w:tc>
          <w:tcPr>
            <w:tcW w:w="89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B53CED" w:rsidRDefault="00B53CED">
            <w:pPr>
              <w:spacing w:line="360" w:lineRule="auto"/>
              <w:jc w:val="center"/>
              <w:rPr>
                <w:rFonts w:cs="David" w:hint="cs"/>
                <w:rtl/>
              </w:rPr>
            </w:pPr>
            <w:r>
              <w:rPr>
                <w:rFonts w:cs="David" w:hint="cs"/>
                <w:rtl/>
              </w:rPr>
              <w:t>53</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Fonts w:cs="David" w:hint="cs"/>
                <w:rtl/>
              </w:rPr>
            </w:pPr>
            <w:r>
              <w:rPr>
                <w:rFonts w:cs="David" w:hint="cs"/>
                <w:rtl/>
              </w:rPr>
              <w:t>הנספח הנ"ל לא קיים. נבקש לקבל עותק מהנספח לאישור חברת הביטוח</w:t>
            </w:r>
          </w:p>
        </w:tc>
        <w:tc>
          <w:tcPr>
            <w:tcW w:w="5132" w:type="dxa"/>
            <w:tcBorders>
              <w:top w:val="nil"/>
              <w:left w:val="nil"/>
              <w:bottom w:val="single" w:sz="8" w:space="0" w:color="auto"/>
              <w:right w:val="single" w:sz="8" w:space="0" w:color="auto"/>
            </w:tcBorders>
            <w:tcMar>
              <w:top w:w="0" w:type="dxa"/>
              <w:left w:w="108" w:type="dxa"/>
              <w:bottom w:w="0" w:type="dxa"/>
              <w:right w:w="108" w:type="dxa"/>
            </w:tcMar>
            <w:hideMark/>
          </w:tcPr>
          <w:p w:rsidR="00B53CED" w:rsidRDefault="00B53CED">
            <w:pPr>
              <w:spacing w:line="360" w:lineRule="auto"/>
              <w:rPr>
                <w:rFonts w:cs="David" w:hint="cs"/>
                <w:color w:val="1F497D"/>
                <w:rtl/>
              </w:rPr>
            </w:pPr>
            <w:r>
              <w:rPr>
                <w:rFonts w:ascii="Arial" w:hAnsi="Arial" w:cs="Arial"/>
                <w:b/>
                <w:bCs/>
                <w:color w:val="1F497D"/>
                <w:rtl/>
              </w:rPr>
              <w:t>מצורף הנספח הרלוונטי</w:t>
            </w:r>
          </w:p>
        </w:tc>
      </w:tr>
    </w:tbl>
    <w:p w:rsidR="00B53CED" w:rsidRDefault="00B53CED">
      <w:pPr>
        <w:rPr>
          <w:rFonts w:hint="cs"/>
        </w:rPr>
      </w:pPr>
    </w:p>
    <w:sectPr w:rsidR="00B53CED" w:rsidSect="00EB6E2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1105064"/>
    <w:multiLevelType w:val="hybridMultilevel"/>
    <w:tmpl w:val="A210AE76"/>
    <w:lvl w:ilvl="0" w:tplc="CE202BC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4224244D"/>
    <w:multiLevelType w:val="hybridMultilevel"/>
    <w:tmpl w:val="CF1C04A8"/>
    <w:lvl w:ilvl="0" w:tplc="AA808C24">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15:restartNumberingAfterBreak="0">
    <w:nsid w:val="5B55048D"/>
    <w:multiLevelType w:val="hybridMultilevel"/>
    <w:tmpl w:val="723E239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79627931"/>
    <w:multiLevelType w:val="hybridMultilevel"/>
    <w:tmpl w:val="DA963CF4"/>
    <w:lvl w:ilvl="0" w:tplc="CEA071F2">
      <w:start w:val="1"/>
      <w:numFmt w:val="hebrew1"/>
      <w:lvlText w:val="%1."/>
      <w:lvlJc w:val="left"/>
      <w:pPr>
        <w:ind w:left="720" w:hanging="360"/>
      </w:pPr>
      <w:rPr>
        <w:rFonts w:ascii="Arial" w:hAnsi="Arial" w:cs="Arial"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3CED"/>
    <w:rsid w:val="000320DE"/>
    <w:rsid w:val="00B53CED"/>
    <w:rsid w:val="00EB6E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DEDC4479-7007-41B7-A66A-E5A03ABC7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3CED"/>
    <w:pPr>
      <w:bidi/>
      <w:spacing w:after="0" w:line="240" w:lineRule="auto"/>
    </w:pPr>
    <w:rPr>
      <w:rFonts w:ascii="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3CED"/>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1255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386</Words>
  <Characters>1932</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אורלי גבאי [Orly Gabay]</dc:creator>
  <cp:keywords/>
  <dc:description/>
  <cp:lastModifiedBy>אורלי גבאי [Orly Gabay]</cp:lastModifiedBy>
  <cp:revision>1</cp:revision>
  <dcterms:created xsi:type="dcterms:W3CDTF">2018-01-21T13:13:00Z</dcterms:created>
  <dcterms:modified xsi:type="dcterms:W3CDTF">2018-01-21T13:15:00Z</dcterms:modified>
</cp:coreProperties>
</file>